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§2861. Meeting to form parish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 Meeting to form parish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§2861. MEETING TO FORM PARISH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