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2863</w:t>
        <w:t xml:space="preserve">.  </w:t>
      </w:r>
      <w:r>
        <w:rPr>
          <w:b/>
        </w:rPr>
        <w:t xml:space="preserve">Property and bylaws</w:t>
      </w:r>
    </w:p>
    <w:p>
      <w:pPr>
        <w:jc w:val="both"/>
        <w:spacing w:before="100" w:after="100"/>
        <w:ind w:start="360"/>
        <w:ind w:firstLine="360"/>
      </w:pPr>
      <w:r>
        <w:rPr/>
      </w:r>
      <w:r>
        <w:rPr/>
      </w:r>
      <w:r>
        <w:t xml:space="preserve">Every parish may take by gift or purchase any real or personal estate, until the clear annual income thereof amounts to $3,000; convey the same and establish bylaws not repugnant to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§2863. Property and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§2863. Property and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§2863. PROPERTY AND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