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Refusal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§2904. REFUSAL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