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Filing of certificate; change of name;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§3025. FILING OF CERTIFICATE; CHANGE OF NAME;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