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3103</w:t>
        <w:t xml:space="preserve">.  </w:t>
      </w:r>
      <w:r>
        <w:rPr>
          <w:b/>
        </w:rPr>
        <w:t xml:space="preserve">Incorporation</w:t>
      </w:r>
    </w:p>
    <w:p>
      <w:pPr>
        <w:jc w:val="both"/>
        <w:spacing w:before="100" w:after="100"/>
        <w:ind w:start="360"/>
        <w:ind w:firstLine="360"/>
      </w:pPr>
      <w:r>
        <w:rPr/>
      </w:r>
      <w:r>
        <w:rPr/>
      </w:r>
      <w:r>
        <w:t xml:space="preserve">Any persons, for the purpose of erecting a meetinghouse, or the majority in interest of the owners of a meetinghouse, not a parish, may incorporate themselves as parishes may, and choose all officers and do all other acts that a parish may lawfully do.</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§3103.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§3103.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§3103.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