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3166</w:t>
        <w:t xml:space="preserve">.  </w:t>
      </w:r>
      <w:r>
        <w:rPr>
          <w:b/>
        </w:rPr>
        <w:t xml:space="preserve">Trustees may hold for use of ministry and schools</w:t>
      </w:r>
    </w:p>
    <w:p>
      <w:pPr>
        <w:jc w:val="both"/>
        <w:spacing w:before="100" w:after="100"/>
        <w:ind w:start="360"/>
        <w:ind w:firstLine="360"/>
      </w:pPr>
      <w:r>
        <w:rPr/>
      </w:r>
      <w:r>
        <w:rPr/>
      </w:r>
      <w:r>
        <w:t xml:space="preserve">The corporation may, by gift, grant or otherwise, take and hold for the use of the ministry in their towns, real and personal estate, the annual income of which does not exceed $1,000; and for the use of schools may take and hold estate, the annual income of which does not exceed the sum which their town is bound to raise for the same 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§3166. Trustees may hold for use of ministry and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§3166. Trustees may hold for use of ministry and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§3166. TRUSTEES MAY HOLD FOR USE OF MINISTRY AND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