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Books produced for trial;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§337. BOOKS PRODUCED FOR TRIAL;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