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Capital stock; record of owners</w:t>
      </w:r>
    </w:p>
    <w:p>
      <w:pPr>
        <w:jc w:val="both"/>
        <w:spacing w:before="100" w:after="100"/>
        <w:ind w:start="360"/>
        <w:ind w:firstLine="360"/>
      </w:pPr>
      <w:r>
        <w:rPr/>
      </w:r>
      <w:r>
        <w:rPr/>
      </w:r>
      <w:r>
        <w:t xml:space="preserve">The capital of corporations incorporated by special Act of the Legislature must be fixed and divided into shares. The names of the owners and the number of shares owned by each must be entered of record at the first meeting. The capital may be subsequently increased as provided in </w:t>
      </w:r>
      <w:r>
        <w:t>Title 13‑C, chapter 10</w:t>
      </w:r>
      <w:r>
        <w:t xml:space="preserve">, by an appropriate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[RR 2001, c. 2, Pt. B, §25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§11 (AMD). RR 2001, c. 2, §B25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Capital stock; record of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Capital stock; record of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 CAPITAL STOCK; RECORD OF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