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Certificate of organization</w:t>
      </w:r>
    </w:p>
    <w:p>
      <w:pPr>
        <w:jc w:val="both"/>
        <w:spacing w:before="100" w:after="100"/>
        <w:ind w:start="360"/>
        <w:ind w:firstLine="360"/>
      </w:pPr>
      <w:r>
        <w:rPr/>
      </w:r>
      <w:r>
        <w:rPr/>
      </w:r>
      <w:r>
        <w:t xml:space="preserve">Before commencing business, the president, treasurer and a majority of the directors of any corporation chartered by a special act of the Legislature shall prepare, sign, date and deliver for filing with the Secretary of State articles of incorporation as required by </w:t>
      </w:r>
      <w:r>
        <w:t>Title 13‑C, section 202</w:t>
      </w:r>
      <w:r>
        <w:t xml:space="preserve">.  In addition to the provisions under </w:t>
      </w:r>
      <w:r>
        <w:t>Title 13‑C, section 202</w:t>
      </w:r>
      <w:r>
        <w:t xml:space="preserve">, the corporation must provide the date of approval of its charter and purposes of the corporation. If articles of incorporation delivered for filing to the Secretary of State pursuant to this section satisfy the requirements of this subchapter and </w:t>
      </w:r>
      <w:r>
        <w:t>Title 13‑C, section 202</w:t>
      </w:r>
      <w:r>
        <w:t xml:space="preserve">,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§43.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