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under this chapter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D</w:t>
        <w:t xml:space="preserve">.  </w:t>
      </w:r>
      <w:r>
        <w:rPr/>
      </w:r>
      <w:r>
        <w:t xml:space="preserve">Violates any other provision of the laws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as provided in this chapter or as provided in the applicable law for that entity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0"/>
        <w:ind w:start="360"/>
        <w:ind w:firstLine="360"/>
      </w:pPr>
      <w:r>
        <w:rPr>
          <w:b/>
        </w:rPr>
        <w:t>7</w:t>
        <w:t xml:space="preserve">.  </w:t>
      </w:r>
      <w:r>
        <w:rPr>
          <w:b/>
        </w:rPr>
        <w:t xml:space="preserve">Violations of this section.</w:t>
        <w:t xml:space="preserve"> </w:t>
      </w:r>
      <w:r>
        <w:t xml:space="preserve"> </w:t>
      </w:r>
      <w:r>
        <w:t xml:space="preserve">If a corporation has in other respects complied with this chapter and its articles of incorporation have been filed, subsequent discovery of a violation of this section does not invalidate its corporate existence or authority, but the courts of this State may, upon application of the State or of any interested or affected person, enjoin such violation and grant any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§911.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