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§1502-D. TAXING OF COSTS;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