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Judgment divesting real estate recorded in registry of deeds</w:t>
      </w:r>
    </w:p>
    <w:p>
      <w:pPr>
        <w:jc w:val="both"/>
        <w:spacing w:before="100" w:after="100"/>
        <w:ind w:start="360"/>
        <w:ind w:firstLine="360"/>
      </w:pPr>
      <w:r>
        <w:rPr/>
      </w:r>
      <w:r>
        <w:rPr/>
      </w:r>
      <w:r>
        <w:t xml:space="preserve">No judgment or decree divesting any person of title to real estate shall be effectual against any person not a party to the action in which such judgment or decree is rendered, and persons not having actual notice thereof, unless a copy of such judgment or decree or so much thereof as relates to the title to such real estate duly certified by the clerk of courts in and for the county where said judgment or decree is rendered is, within 30 days after the rendering of such judgment or decree, duly recorded in the registry of deeds in the county or district in which such real estate is situated.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 Judgment divesting real estate recorded in registry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Judgment divesting real estate recorded in registry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§1604. JUDGMENT DIVESTING REAL ESTATE RECORDED IN REGISTRY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