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Settlement or release of claims</w:t>
      </w:r>
    </w:p>
    <w:p>
      <w:pPr>
        <w:jc w:val="both"/>
        <w:spacing w:before="100" w:after="100"/>
        <w:ind w:start="360"/>
        <w:ind w:firstLine="360"/>
      </w:pPr>
      <w:r>
        <w:rPr/>
      </w:r>
      <w:r>
        <w:rPr/>
      </w:r>
      <w:r>
        <w:t xml:space="preserve">Whenever a person seeks to recover against another person for both personal injury and property damage, settlement or release of either the personal injury or property damage claim shall not be a bar to a subsequent action upon the other claim.</w:t>
      </w:r>
      <w:r>
        <w:t xml:space="preserve">  </w:t>
      </w:r>
      <w:r xmlns:wp="http://schemas.openxmlformats.org/drawingml/2010/wordprocessingDrawing" xmlns:w15="http://schemas.microsoft.com/office/word/2012/wordml">
        <w:rPr>
          <w:rFonts w:ascii="Arial" w:hAnsi="Arial" w:cs="Arial"/>
          <w:sz w:val="22"/>
          <w:szCs w:val="22"/>
        </w:rPr>
        <w:t xml:space="preserve">[PL 1969, c. 230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 Settlement or release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Settlement or release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§162. SETTLEMENT OR RELEASE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