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Immunity for certain food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Immunity for certain food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§166. IMMUNITY FOR CERTAIN FOOD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