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Unrecorded levy void against purchaser or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Unrecorded levy void against purchaser or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§2017. UNRECORDED LEVY VOID AGAINST PURCHASER OR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