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Attachment and sale of rights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Attachment and sale of rights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§2252. ATTACHMENT AND SALE OF RIGHTS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