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Discharge of trustees; effect on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Discharge of trustees; effect on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§2611. DISCHARGE OF TRUSTEES; EFFECT ON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