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2629</w:t>
        <w:t xml:space="preserve">.  </w:t>
      </w:r>
      <w:r>
        <w:rPr>
          <w:b/>
        </w:rPr>
        <w:t xml:space="preserve">Goods fraudulently conveyed, trusteed</w:t>
      </w:r>
    </w:p>
    <w:p>
      <w:pPr>
        <w:jc w:val="both"/>
        <w:spacing w:before="100" w:after="100"/>
        <w:ind w:start="360"/>
        <w:ind w:firstLine="360"/>
      </w:pPr>
      <w:r>
        <w:rPr/>
      </w:r>
      <w:r>
        <w:rPr/>
      </w:r>
      <w:r>
        <w:t xml:space="preserve">If an alleged trustee has in his possession goods, effects or credits of the principal defendant which he holds under a conveyance fraudulent and void as to the defendant's creditors, he may be adjudged a trustee on account thereof, although the principal defendant could not have maintained an action therefor against him.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§2629. Goods fraudulently conveyed, trusteed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§2629. Goods fraudulently conveyed, trusteed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§2629. GOODS FRAUDULENTLY CONVEYED, TRUSTEED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