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Remedy where trustee refuses to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medy where trustee refuses to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2. REMEDY WHERE TRUSTEE REFUSES TO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