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Discontinuance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Discontinuance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§2901. DISCONTINUANCE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