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 when trustees out of county or reside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§2906. COSTS WHEN TRUSTEES OUT OF COUNTY OR RESIDE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