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Default on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§2954. DEFAULT ON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