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Trustee process on judgment dismissed; costs</w:t>
      </w:r>
    </w:p>
    <w:p>
      <w:pPr>
        <w:jc w:val="both"/>
        <w:spacing w:before="100" w:after="100"/>
        <w:ind w:start="360"/>
        <w:ind w:firstLine="360"/>
      </w:pPr>
      <w:r>
        <w:rPr/>
      </w:r>
      <w:r>
        <w:rPr/>
      </w:r>
      <w:r>
        <w:t xml:space="preserve">When trustee process is used in connection with an action on a judgment on which execution might legally issue and it appears to the court that, at the time of bringing it, the defendant openly had visible property liable to attachment sufficient to satisfy such judgment, or that it was brought for the purpose of vexation or to accumulate costs, it shall at any time on motion be dismissed, with costs to the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§2960. Trustee process on judgment dismissed;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Trustee process on judgment dismissed;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§2960. TRUSTEE PROCESS ON JUDGMENT DISMISSED;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