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Application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Application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§406. APPLICATION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