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Property subject to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Property subject to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§4151. PROPERTY SUBJECT TO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