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Successive attachments</w:t>
      </w:r>
    </w:p>
    <w:p>
      <w:pPr>
        <w:jc w:val="both"/>
        <w:spacing w:before="100" w:after="100"/>
        <w:ind w:start="360"/>
        <w:ind w:firstLine="360"/>
      </w:pPr>
      <w:r>
        <w:rPr/>
      </w:r>
      <w:r>
        <w:rPr/>
      </w:r>
      <w:r>
        <w:t xml:space="preserve">Successive attachments in one or more counties may be made upon the same writ of attachment by the same or different officers before service of the summons upon the person whose property is attached; but none after such service except on order of the court on motion without notice and for cause shown. Personal property attached on process may be subsequently attached by a different officer, who shall furnish the last preceding attaching officer with a copy of the precept within a reasonable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§4157. Successive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Successive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§4157. SUCCESSIVE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