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4160</w:t>
        <w:t xml:space="preserve">.  </w:t>
      </w:r>
      <w:r>
        <w:rPr>
          <w:b/>
        </w:rPr>
        <w:t xml:space="preserve">Restriction of right to attach replevied goods</w:t>
      </w:r>
    </w:p>
    <w:p>
      <w:pPr>
        <w:jc w:val="both"/>
        <w:spacing w:before="100" w:after="100"/>
        <w:ind w:start="360"/>
        <w:ind w:firstLine="360"/>
      </w:pPr>
      <w:r>
        <w:rPr/>
      </w:r>
      <w:r>
        <w:rPr/>
      </w:r>
      <w:r>
        <w:t xml:space="preserve">Goods, taken by replevin from an attaching officer, shall not be further attached as property of the original defendant in any other manner than that provided in </w:t>
      </w:r>
      <w:r>
        <w:t>sections 4202</w:t>
      </w:r>
      <w:r>
        <w:t xml:space="preserve"> and </w:t>
      </w:r>
      <w:r>
        <w:t>4203</w:t>
      </w:r>
      <w:r>
        <w:t xml:space="preserve">, so long as they are held by the person who replevied them or by any one holding under him, unless the original defendant has acquired a new title to the goods.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§4160. Restriction of right to attach replevied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§4160. Restriction of right to attach replevied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§4160. RESTRICTION OF RIGHT TO ATTACH REPLEVIED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