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§4302. PAYMENT; PART OWNER'S LIEN; ATTACHMENT DISSOLVED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