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§4353. PETITION FOR 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