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Proceeds attached in hands of officers; surplus</w:t>
      </w:r>
    </w:p>
    <w:p>
      <w:pPr>
        <w:jc w:val="both"/>
        <w:spacing w:before="100" w:after="100"/>
        <w:ind w:start="360"/>
        <w:ind w:firstLine="360"/>
      </w:pPr>
      <w:r>
        <w:rPr/>
      </w:r>
      <w:r>
        <w:rPr/>
      </w:r>
      <w:r>
        <w:t xml:space="preserve">The proceeds of such property sold by order of court may be further attached by the officer as property of the defendant while remaining in his hands; and held and disposed of as if the property itself had been attached; but after retaining enough to satisfy all attachments existing thereon at any time, nothing herein shall prevent his paying the surplus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§4354. Proceeds attached in hands of officers;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Proceeds attached in hands of officers;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§4354. PROCEEDS ATTACHED IN HANDS OF OFFICERS;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