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Writ of attachment from District Court</w:t>
      </w:r>
    </w:p>
    <w:p>
      <w:pPr>
        <w:jc w:val="both"/>
        <w:spacing w:before="100" w:after="100"/>
        <w:ind w:start="360"/>
        <w:ind w:firstLine="360"/>
      </w:pPr>
      <w:r>
        <w:rPr/>
      </w:r>
      <w:r>
        <w:rPr/>
      </w:r>
      <w:r>
        <w:t xml:space="preserve">If a District Court has jurisdiction in any action, real estate and interests in real estate attachable on writs of attachment from the Superior Court may be attached on writs of attachment or taken on executions from such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§4452. Writ of attachment from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Writ of attachment from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§4452. WRIT OF ATTACHMENT FROM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