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§4659. Actions and executions; when directed into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§4659. Actions and executions; when directed into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§4659. ACTIONS AND EXECUTIONS; WHEN DIRECTED INTO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