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4759</w:t>
        <w:t xml:space="preserve">.  </w:t>
      </w:r>
      <w:r>
        <w:rPr>
          <w:b/>
        </w:rPr>
        <w:t xml:space="preserve">Disposal of proceeds</w:t>
      </w:r>
    </w:p>
    <w:p>
      <w:pPr>
        <w:jc w:val="both"/>
        <w:spacing w:before="100" w:after="100"/>
        <w:ind w:start="360"/>
        <w:ind w:firstLine="360"/>
      </w:pPr>
      <w:r>
        <w:rPr/>
      </w:r>
      <w:r>
        <w:rPr/>
      </w:r>
      <w:r>
        <w:t xml:space="preserve">The money arising from the sale of any property on execution shall be applied to pay the charges and satisfy the execution. The residue, if any, shall be returned to the debtor on demand or otherwise applied as provided in </w:t>
      </w:r>
      <w:r>
        <w:t>section 5001</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§4759. Disposal of proceeds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§4759. Disposal of proceeds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§4759. DISPOSAL OF PROCEEDS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