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§5536. No rearrest after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§5536. NO REARREST AFTER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