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Demands due from deceased persons</w:t>
      </w:r>
    </w:p>
    <w:p>
      <w:pPr>
        <w:jc w:val="both"/>
        <w:spacing w:before="100" w:after="100"/>
        <w:ind w:start="360"/>
        <w:ind w:firstLine="360"/>
      </w:pPr>
      <w:r>
        <w:rPr/>
      </w:r>
      <w:r>
        <w:rPr/>
      </w:r>
      <w:r>
        <w:t xml:space="preserve">Demands against a person belonging to a defendant at the time of death of such person may be asserted by counterclaim against claims prosecuted by his personal representative. If a balance is found due to the defendant, judgment shall be in like form and of like effect as if he had commenced an action therefor.</w:t>
      </w:r>
      <w:r>
        <w:t xml:space="preserve">  </w:t>
      </w:r>
      <w:r xmlns:wp="http://schemas.openxmlformats.org/drawingml/2010/wordprocessingDrawing" xmlns:w15="http://schemas.microsoft.com/office/word/2012/wordml">
        <w:rPr>
          <w:rFonts w:ascii="Arial" w:hAnsi="Arial" w:cs="Arial"/>
          <w:sz w:val="22"/>
          <w:szCs w:val="22"/>
        </w:rPr>
        <w:t xml:space="preserve">[PL 1979, c. 540,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§5902. Demands due from deceased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Demands due from deceased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§5902. DEMANDS DUE FROM DECEASED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