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5944</w:t>
        <w:t xml:space="preserve">.  </w:t>
      </w:r>
      <w:r>
        <w:rPr>
          <w:b/>
        </w:rPr>
        <w:t xml:space="preserve">Venue</w:t>
      </w:r>
    </w:p>
    <w:p>
      <w:pPr>
        <w:jc w:val="both"/>
        <w:spacing w:before="100" w:after="100"/>
        <w:ind w:start="360"/>
        <w:ind w:firstLine="360"/>
      </w:pPr>
      <w:r>
        <w:rPr/>
      </w:r>
      <w:r>
        <w:rPr/>
      </w:r>
      <w:r>
        <w:t xml:space="preserve">If the action is to be heard in the Superior Court, an initial application must be made to the Superior Court of the county in which the agreement provides the arbitration hearing must be held or, if the hearing has been held, in the county in which it was held. Otherwise the application must be made in the county where the adverse party resides or has a place of business or, if the adverse party has no residence or place of business in this State, to the court of any county. All subsequent applications must be made to the court hearing the initial application unless the court otherwise directs.</w:t>
      </w:r>
      <w:r>
        <w:t xml:space="preserve">  </w:t>
      </w:r>
      <w:r xmlns:wp="http://schemas.openxmlformats.org/drawingml/2010/wordprocessingDrawing" xmlns:w15="http://schemas.microsoft.com/office/word/2012/wordml">
        <w:rPr>
          <w:rFonts w:ascii="Arial" w:hAnsi="Arial" w:cs="Arial"/>
          <w:sz w:val="22"/>
          <w:szCs w:val="22"/>
        </w:rPr>
        <w:t xml:space="preserve">[PL 2011, c. 80, §6 (AMD).]</w:t>
      </w:r>
    </w:p>
    <w:p>
      <w:pPr>
        <w:jc w:val="both"/>
        <w:spacing w:before="100" w:after="100"/>
        <w:ind w:start="360"/>
        <w:ind w:firstLine="360"/>
      </w:pPr>
      <w:r>
        <w:rPr/>
      </w:r>
      <w:r>
        <w:rPr/>
      </w:r>
      <w:r>
        <w:t xml:space="preserve">If the action is to be heard in the District Court, an initial application must be made to the division of the District Court in which the agreement provides the arbitration hearing must be held or, if the hearing has been held, in the division in which it was held. Otherwise the application must be made in the division where the adverse party resides or has a place of business or, if the adverse party has no residence or place of business in this State, to any District Court. All subsequent applications must be made to the court hearing the initial application unless the court otherwise directs.</w:t>
      </w:r>
      <w:r>
        <w:t xml:space="preserve">  </w:t>
      </w:r>
      <w:r xmlns:wp="http://schemas.openxmlformats.org/drawingml/2010/wordprocessingDrawing" xmlns:w15="http://schemas.microsoft.com/office/word/2012/wordml">
        <w:rPr>
          <w:rFonts w:ascii="Arial" w:hAnsi="Arial" w:cs="Arial"/>
          <w:sz w:val="22"/>
          <w:szCs w:val="22"/>
        </w:rPr>
        <w:t xml:space="preserve">[PL 2011, c. 80,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2011, c. 80,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§5944.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§5944.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§5944.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