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§6021-A. Treatment of bedbug infestation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§6021-A. Treatment of bedbug infestation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§6021-A. TREATMENT OF BEDBUG INFESTATION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