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§6025-A. ACCESS TO CARE FOR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