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§6203-C. Conveyance by mortgagor;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§6203-C. Conveyance by mortgagor;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§6203-C. CONVEYANCE BY MORTGAGOR;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