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Death of mortgagor or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Death of mortgagor or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§6303. DEATH OF MORTGAGOR OR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