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6510</w:t>
        <w:t xml:space="preserve">.  </w:t>
      </w:r>
      <w:r>
        <w:rPr>
          <w:b/>
        </w:rPr>
        <w:t xml:space="preserve">Death of defendant</w:t>
      </w:r>
    </w:p>
    <w:p>
      <w:pPr>
        <w:jc w:val="both"/>
        <w:spacing w:before="100" w:after="100"/>
        <w:ind w:start="360"/>
        <w:ind w:firstLine="360"/>
      </w:pPr>
      <w:r>
        <w:rPr/>
      </w:r>
      <w:r>
        <w:rPr/>
      </w:r>
      <w:r>
        <w:t xml:space="preserve">The action is not abated by the death of a party defendant. His heirs or devisees or, if the estate is for a term of years, his executor or administrator may be cited to appear, and upon service on them, they shall become parties to the proceedings. The court may order such judgment, and with such costs, as the law and facts require.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§6510. Death of defendant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§6510. Death of defendant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§6510. DEATH OF DEFENDANT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