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6961</w:t>
        <w:t xml:space="preserve">.  </w:t>
      </w:r>
      <w:r>
        <w:rPr>
          <w:b/>
        </w:rPr>
        <w:t xml:space="preserve">No abandonment; payment for improvements</w:t>
      </w:r>
    </w:p>
    <w:p>
      <w:pPr>
        <w:jc w:val="both"/>
        <w:spacing w:before="100" w:after="100"/>
        <w:ind w:start="360"/>
        <w:ind w:firstLine="360"/>
      </w:pPr>
      <w:r>
        <w:rPr/>
      </w:r>
      <w:r>
        <w:rPr/>
      </w:r>
      <w:r>
        <w:t xml:space="preserve">When the plaintiff does not elect so to abandon the premises, no writ of possession shall issue on his judgment, nor a new action be sustained for the land unless, within one year from the rendition thereof, he pays to the clerk or to such person as the court appoints for the use of the defendant, the sum assessed for the buildings and improvements, with interest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§6961. No abandonment; payment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§6961. No abandonment; payment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§6961. NO ABANDONMENT; PAYMENT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