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Procedure</w:t>
      </w:r>
    </w:p>
    <w:p>
      <w:pPr>
        <w:jc w:val="both"/>
        <w:spacing w:before="100" w:after="100"/>
        <w:ind w:start="360"/>
        <w:ind w:firstLine="360"/>
      </w:pPr>
      <w:r>
        <w:rPr/>
      </w:r>
      <w:r>
        <w:rPr/>
      </w:r>
      <w:r>
        <w:t xml:space="preserve">If such attorney then appears, he shall file an answer to such motion under oath and such justice may examine the parties and other evidence pertinent thereto. If he does not appear and answer, the facts set forth in the motion shall be taken as confessed. In either case such justice shall render such decree as equity requires.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