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Location by direction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Location by direction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§7208. LOCATION BY DIRECTION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