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7302</w:t>
        <w:t xml:space="preserve">.  </w:t>
      </w:r>
      <w:r>
        <w:rPr>
          <w:b/>
        </w:rPr>
        <w:t xml:space="preserve">Venue</w:t>
      </w:r>
    </w:p>
    <w:p>
      <w:pPr>
        <w:jc w:val="both"/>
        <w:spacing w:before="100" w:after="100"/>
        <w:ind w:start="360"/>
        <w:ind w:firstLine="360"/>
      </w:pPr>
      <w:r>
        <w:rPr/>
      </w:r>
      <w:r>
        <w:rPr/>
      </w:r>
      <w:r>
        <w:t xml:space="preserve">Except as provided in </w:t>
      </w:r>
      <w:r>
        <w:t>section 509</w:t>
      </w:r>
      <w:r>
        <w:t xml:space="preserve"> and in </w:t>
      </w:r>
      <w:r>
        <w:t>Title 4, section 155, subsection 3‑A</w:t>
      </w:r>
      <w:r>
        <w:t xml:space="preserve">, an action for replevin may be brought in either District Court or Superior Court in the county or division where a plaintiff or defendant resides or where any of the personal property sought to be replevied is located.</w:t>
      </w:r>
      <w:r>
        <w:t xml:space="preserve">  </w:t>
      </w:r>
      <w:r xmlns:wp="http://schemas.openxmlformats.org/drawingml/2010/wordprocessingDrawing" xmlns:w15="http://schemas.microsoft.com/office/word/2012/wordml">
        <w:rPr>
          <w:rFonts w:ascii="Arial" w:hAnsi="Arial" w:cs="Arial"/>
          <w:sz w:val="22"/>
          <w:szCs w:val="22"/>
        </w:rPr>
        <w:t xml:space="preserve">[PL 2009, c. 245, §7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245, §7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§7302. Venue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§7302. Venue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§7302. VENUE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