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7308</w:t>
        <w:t xml:space="preserve">.  </w:t>
      </w:r>
      <w:r>
        <w:rPr>
          <w:b/>
        </w:rPr>
        <w:t xml:space="preserve">Judgment if plaintiff recovers</w:t>
      </w:r>
    </w:p>
    <w:p>
      <w:pPr>
        <w:jc w:val="both"/>
        <w:spacing w:before="100" w:after="100"/>
        <w:ind w:start="360"/>
        <w:ind w:firstLine="360"/>
      </w:pPr>
      <w:r>
        <w:rPr/>
      </w:r>
      <w:r>
        <w:rPr/>
      </w:r>
      <w:r>
        <w:t xml:space="preserve">If it appears that the goods were taken, attached or detained unlawfully, the plaintiff shall have judgment for his damages caused thereby and for his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§7308. Judgment if plaintiff recovers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§7308. Judgment if plaintiff recovers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§7308. JUDGMENT IF PLAINTIFF RECOVERS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