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§7505. NO WASTE BY PART OWNER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