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JURISDICTION AND VENUE</w:t>
      </w:r>
    </w:p>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the verdict may be received and recorded by the court. The person may be considered as convicted of the offense, if any, that is substantially charged by the residue and be punished accordingly, although the offense would not otherwise be within the jurisdiction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D,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 (COR). </w:t>
      </w:r>
    </w:p>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 Justice of the Superior Court, whichever court has jurisdiction over the matter to be heard, may order the person's removal into another county, when complaint has been made and warrant issued or an indictment has been found, charging the person so arrested or imprisoned with the commission of a crime in the other county, for examination or trial under the complaint or indictment; but, before issuing the order, the judge or justice must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[RR 2023, c. 2, Pt. D,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RR 2023, c. 2, Pt. D, §2 (COR). </w:t>
      </w:r>
    </w:p>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the person to the officer presenting the order, upon receiving an attested copy of the order and of the complaint and warrant or indictment on which the order is founded. The officer receiving the accused person shall bring the accused person before the proper court or judge in the county to which the accused person is removed, for examination and trial, and make due return of the accused person's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