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INTERSTATE COMPACT ON THE MENTALLY DISORDERED OFFENDER</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that facilitates the mentally disordered offender's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[RR 2023, c. 2, Pt. D, §85 (COR).]</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§85 (COR).]</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§85 (COR). </w:t>
      </w:r>
    </w:p>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the state in which the mentally disordered offender would be subject to trial on or conviction of an offense, except for the mentally disordered offender's mental condition; or, within the meaning of Article V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§86 (COR).]</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§86 (COR). </w:t>
      </w:r>
    </w:p>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the patient's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§87 (COR).]</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 patient pursuant to the terms of this compact is subject to civil process and has any and all rights to sue, be sued and participate in and derive any benefits or incur or be relieved of any obligations or have such obligations modified or the patient's status changed on account of any action or proceeding in which the patient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§88 (COR).]</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may not be deprived of or restricted in the parent's, guardian's, trustee's or other person's or persons'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§§87-89 (COR). </w:t>
      </w:r>
    </w:p>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the mentally disordered offender, those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§90 (COR).]</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The hearing must be only to determine whether the proper safeguarding and advancement of the public interest, the condition of the mentally disordered offender and the prospects for more satisfactory care, treatment and rehabilitation of the mentally disordered offender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are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§91 (COR).]</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the mentally disordered offender's care, treatment and discharge to the community only under conditions that are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§92 (COR).]</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the mentally disordered offender's presence within any other state through which the mentally disordered offender is being transported in connection with such petition or hearing, is only for the purposes of this compact, and a court, agency or person may not have or obtain jurisdiction over such mentally disordered offender for any other purpose by reason of the mentally disordered offender's presence pursuant to this Article. The mentally disordered offender must, at all times, remain in the custody of the sending state. Any acts of officers, employees or agencies of the receiving state in providing or facilitating detention, housing or transportation for the mentally disordered offender are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§93 (COR).]</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A fact or other matter established or adjudicated at any hearing pursuant to this Article, or in connection therewith, may not be considered established or adjudicated, nor may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the defendant's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w:pPr>
        <w:jc w:val="both"/>
        <w:spacing w:before="100" w:after="0"/>
        <w:ind w:start="720"/>
      </w:pPr>
      <w:r>
        <w:rPr/>
        <w:t>B</w:t>
        <w:t xml:space="preserve">.  </w:t>
      </w:r>
      <w:r>
        <w:rPr/>
      </w:r>
      <w:r>
        <w:t xml:space="preserve">The defendant personally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§§90-94 (COR). </w:t>
      </w:r>
    </w:p>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311. INTERSTATE COMPACT ON THE MENTALLY DISORDERED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