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§101-D. Mental examination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§101-D. Mental examination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§101-D. MENTAL EXAMINATION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